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Aneby kommunfullmäktige</w:t>
      </w:r>
    </w:p>
    <w:p>
      <w:pPr>
        <w:pStyle w:val="Heading1"/>
      </w:pPr>
      <w:r>
        <w:t xml:space="preserve">Snabbare tillståndsprocesser för företag i Aneby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Aneby rankas 187 av 290 kommuner i Svenskt Näringslivs företagsklimat 2024. Långa handläggningstider hämmar nyetableringar. Moderaterna vill underlätta för lokalt näringsliv.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Aneby kommunfullmäktige beslutar att införa en maxgräns på 4 veckor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företagslotsfunktion inrättas inom kommunledningskontoret.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dialogmöten med näringslivet hålls minst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företagsklimatet mäts årligen och målet är topp 100 år 2028.</w:t>
      </w:r>
    </w:p>
    <w:p>
      <w:pPr>
        <w:spacing w:before="360"/>
      </w:pPr>
    </w:p>
    <w:p>
      <w:r>
        <w:t xml:space="preserve">Aneby,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2026-06-06T01:48:18.712Z</dcterms:created>
  <dcterms:modified xsi:type="dcterms:W3CDTF">2026-06-06T01:48:18.712Z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